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D8" w:rsidRPr="00104398" w:rsidRDefault="008C76D8" w:rsidP="008C76D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bookmarkStart w:id="0" w:name="_GoBack"/>
      <w:bookmarkEnd w:id="0"/>
    </w:p>
    <w:p w:rsidR="008C76D8" w:rsidRPr="003F1E8D" w:rsidRDefault="008C76D8" w:rsidP="008C76D8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hAnsi="Tahoma" w:cs="Tahoma"/>
          <w:color w:val="006666"/>
          <w:sz w:val="20"/>
        </w:rPr>
      </w:pPr>
      <w:r>
        <w:rPr>
          <w:rFonts w:ascii="Tahoma" w:hAnsi="Tahoma" w:cs="Tahoma"/>
          <w:b/>
          <w:color w:val="006666"/>
          <w:sz w:val="20"/>
        </w:rPr>
        <w:t xml:space="preserve">Resolución </w:t>
      </w:r>
      <w:hyperlink r:id="rId6" w:history="1">
        <w:r w:rsidRPr="003F1E8D">
          <w:rPr>
            <w:rFonts w:ascii="Tahoma" w:hAnsi="Tahoma" w:cs="Tahoma"/>
            <w:b/>
            <w:color w:val="006666"/>
            <w:sz w:val="20"/>
          </w:rPr>
          <w:t>NAC-DGERCGC17-00000032</w:t>
        </w:r>
      </w:hyperlink>
      <w:r w:rsidRPr="003F1E8D">
        <w:rPr>
          <w:rFonts w:ascii="Tahoma" w:hAnsi="Tahoma" w:cs="Tahoma"/>
          <w:b/>
          <w:color w:val="006666"/>
          <w:sz w:val="20"/>
        </w:rPr>
        <w:t xml:space="preserve">: </w:t>
      </w:r>
      <w:r w:rsidRPr="003F1E8D">
        <w:rPr>
          <w:rFonts w:ascii="Tahoma" w:hAnsi="Tahoma" w:cs="Tahoma"/>
          <w:color w:val="006666"/>
          <w:sz w:val="20"/>
        </w:rPr>
        <w:t>Nórmese la obligatoriedad para la utilización de los servicios disponibles en el portal web</w:t>
      </w:r>
      <w:r>
        <w:rPr>
          <w:rFonts w:ascii="Tahoma" w:hAnsi="Tahoma" w:cs="Tahoma"/>
          <w:color w:val="006666"/>
          <w:sz w:val="20"/>
        </w:rPr>
        <w:t>.</w:t>
      </w:r>
    </w:p>
    <w:p w:rsidR="008C76D8" w:rsidRPr="003F1E8D" w:rsidRDefault="008C76D8" w:rsidP="008C76D8">
      <w:pPr>
        <w:shd w:val="clear" w:color="auto" w:fill="FFFFFF"/>
        <w:spacing w:after="0" w:line="240" w:lineRule="auto"/>
        <w:rPr>
          <w:rFonts w:ascii="Arial" w:hAnsi="Arial" w:cs="Arial"/>
          <w:color w:val="76838F"/>
          <w:shd w:val="clear" w:color="auto" w:fill="FFFFFF"/>
        </w:rPr>
      </w:pPr>
    </w:p>
    <w:p w:rsidR="008C76D8" w:rsidRPr="00EA55D4" w:rsidRDefault="008C76D8" w:rsidP="008C76D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val="es-EC" w:eastAsia="es-EC"/>
        </w:rPr>
      </w:pPr>
      <w:r w:rsidRPr="00EA55D4">
        <w:rPr>
          <w:rFonts w:ascii="Tahoma" w:eastAsia="Times New Roman" w:hAnsi="Tahoma" w:cs="Tahoma"/>
          <w:b/>
          <w:sz w:val="16"/>
          <w:szCs w:val="16"/>
          <w:lang w:val="es-EC" w:eastAsia="es-EC"/>
        </w:rPr>
        <w:t>Resuelve:</w:t>
      </w:r>
    </w:p>
    <w:p w:rsidR="008C76D8" w:rsidRPr="00EA55D4" w:rsidRDefault="008C76D8" w:rsidP="008C76D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  <w:t>Normar la obligatoriedad para la utilización de los servicios disponibles en el portal web del Servicio de Rentas Internas</w:t>
      </w:r>
    </w:p>
    <w:p w:rsidR="008C76D8" w:rsidRDefault="008C76D8" w:rsidP="008C76D8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 xml:space="preserve">Artículo 1.- Obligatoriedad de uso de servicios en línea.- </w:t>
      </w:r>
      <w:proofErr w:type="spellStart"/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Establécese</w:t>
      </w:r>
      <w:proofErr w:type="spellEnd"/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 xml:space="preserve"> la obligación de los contribuyentes a utilizar exclusivamente los servicios en línea a través del portal web del Servicio de Rentas Internas </w:t>
      </w:r>
      <w:r w:rsidRPr="00EA55D4">
        <w:rPr>
          <w:rFonts w:ascii="Tahoma" w:eastAsia="Times New Roman" w:hAnsi="Tahoma" w:cs="Tahoma"/>
          <w:sz w:val="16"/>
          <w:szCs w:val="16"/>
          <w:u w:val="single"/>
          <w:shd w:val="clear" w:color="auto" w:fill="FFFFFF"/>
          <w:lang w:val="es-EC" w:eastAsia="es-EC"/>
        </w:rPr>
        <w:t>(www.sri.gob.ec)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para acceder a los siguientes trámites: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a) Actualización del Registro Único de Contribuyentes (RUC) para personas naturales y sociedades:</w:t>
      </w:r>
    </w:p>
    <w:p w:rsidR="008C76D8" w:rsidRDefault="008C76D8" w:rsidP="008C76D8">
      <w:pPr>
        <w:shd w:val="clear" w:color="auto" w:fill="FFFFFF"/>
        <w:spacing w:after="0" w:line="240" w:lineRule="auto"/>
        <w:ind w:left="284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a) Nombre de fantasía o comercial,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b) Datos de ubicación de domicilio,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c) Datos de ubicación del representante legal,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d) Actualización de datos del contador,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e) Dirección de establecimientos (matriz y adicionales),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f) Medios de contacto (matriz y adicionales),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g) Actualización de tipo de establecimiento (adicionales),y,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h) Cierre de establecimientos (adicionales).</w:t>
      </w:r>
    </w:p>
    <w:p w:rsidR="008C76D8" w:rsidRDefault="008C76D8" w:rsidP="008C76D8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b) Suspensión de Registro Único de Contribuyentes (RUC) personas naturales,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c) Recuperación de claves,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d) Certificados automáticos con código QR y de validación de:</w:t>
      </w:r>
    </w:p>
    <w:p w:rsidR="008C76D8" w:rsidRDefault="008C76D8" w:rsidP="008C76D8">
      <w:pPr>
        <w:shd w:val="clear" w:color="auto" w:fill="FFFFFF"/>
        <w:spacing w:after="0" w:line="240" w:lineRule="auto"/>
        <w:ind w:left="284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a) Reimpresión de RUC,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b) Establecimientos de RUC de personas naturales y sociedades,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c) Certificado de no inscripción en el RUC,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d) Historial de autorizaciones de comprobantes; y,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e) Certificado de cumplimiento tributario.</w:t>
      </w:r>
    </w:p>
    <w:p w:rsidR="008C76D8" w:rsidRDefault="008C76D8" w:rsidP="008C76D8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e) Certificados digitales de declaraciones de impuestos, con código QR y de validación:</w:t>
      </w:r>
    </w:p>
    <w:p w:rsidR="008C76D8" w:rsidRDefault="008C76D8" w:rsidP="008C76D8">
      <w:pPr>
        <w:shd w:val="clear" w:color="auto" w:fill="FFFFFF"/>
        <w:spacing w:after="0" w:line="240" w:lineRule="auto"/>
        <w:ind w:left="284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a) Formulario 101: Impuesto a la renta y presentación de balances formulario único sociedades y establecimientos permanentes,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b) Formulario 102: Impuesto a la renta personas naturales y sucesiones indivisas obligadas a llevar contabilidad,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c) Formulario 102 A: Impuesto a la renta personas naturales y sucesiones indivisas no obligadas a llevar contabilidad,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d) Formulario 103: Retenciones en la fuente del impuesto a la renta,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e) Formulario 104: Impuesto al valor agregado,</w:t>
      </w:r>
    </w:p>
    <w:p w:rsidR="008C76D8" w:rsidRPr="00EA55D4" w:rsidRDefault="008C76D8" w:rsidP="008C76D8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f) Formulario 104 A: Impuesto al valor agregado para personas naturales y sucesiones indivisas que no actúan en calidad de agentes de retención y que no realizan actividades de comercio exterior,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g) Formulario 105: Impuesto a los consumos especiales,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h) Formulario 106: Formulario múltiple de pagos,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i) Formulario 108: Impuesto a la renta sobre ingresos provenientes de herencias, legados y donaciones,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j) Formulario 109: Impuesto a la salida de divisas,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k) Formulario 110: Impuesto a los activos en el exterior,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l) Formulario 111: Impuesto a las tierras rurales,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m) Formulario 113: Regalías a la actividad minera,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n) Formulario 115: Anticipo de impuesto a la renta,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o) Formulario 116: Anticipo de impuesto a la renta de espectáculos públicos,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p) Formulario 117: Patentes de conservación minera,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q) Formulario 118: Contribución destinada al financiamiento de la atención integral del cáncer; y,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r) Formulario 120: Formulario múltiple de declaraciones.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lastRenderedPageBreak/>
        <w:t>Artículo 2. Requisito previo.-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Para acceder a los servicios en línea contemplados en el artículo 1 de la presente Resolución, los contribuyentes deberán contar con la clave de uso de medios electrónicos para el acceso a los servicios brindados a través del portal web del Servicio de Rentas Internas, excepto para la </w:t>
      </w:r>
      <w:r w:rsidRPr="00EA55D4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Recuperación de Claves 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y para la obtención del </w:t>
      </w:r>
      <w:r w:rsidRPr="00EA55D4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Certificado de No Inscripción en el RUC. 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Quienes no posean dicha clave deberán acercarse a los </w:t>
      </w:r>
      <w:r w:rsidRPr="00EA55D4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Centros de Atención al Contribuyente, 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presentando los requisitos establecidos para el efecto y suscribir el respectivo </w:t>
      </w:r>
      <w:r w:rsidRPr="00EA55D4">
        <w:rPr>
          <w:rFonts w:ascii="Tahoma" w:eastAsia="Times New Roman" w:hAnsi="Tahoma" w:cs="Tahoma"/>
          <w:i/>
          <w:iCs/>
          <w:sz w:val="16"/>
          <w:szCs w:val="16"/>
          <w:shd w:val="clear" w:color="auto" w:fill="FFFFFF"/>
          <w:lang w:val="es-EC" w:eastAsia="es-EC"/>
        </w:rPr>
        <w:t>Acuerdo de Responsabilidad y Uso de Medios Electrónicos.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Artículo 3. Casos especiales.-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Cuando por circunstancias atribuibles a la Administración Tributaria no sea posible acceder a los servicios señalados en el artículo 1 de esta Resolución a través del portal web institucional, el Servicio de Rentas Internas establecerá otros mecanismos para tal propósito, comunicando oportunamente del particular a los contribuyentes a través de los medios de difusión institucionales disponibles.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Cuando los contribuyentes por cualquier motivo requieran asistencia para la realización de los trámites establecidos en el artículo 1 de la presente Resolución, recibirán atención por parte de los servidores del Servicio de Rentas Internas en las agencias ubicadas en todo el país.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Artículo 4. Validez.-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Los documentos que hubieren sido generados en línea por parte de los ciudadanos y contribuyentes en el portal web institucional, tendrán plena validez en los trámites que para el efecto requiera el interesado, y por tanto, no deberá exigirse ninguna validación física adicional a esta Administración Tributaria.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DISPOSICIÓN GENERAL ÚNICA.-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Los manuales de usuario de los servicios en línea a los que se refiere la presente Resolución, serán publicados en el portal web institucional.</w:t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EA55D4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DISPOSICIÓN FINAL.- </w:t>
      </w:r>
      <w:r w:rsidRPr="00EA55D4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La presente Resolución entrará en vigencia el 01 de febrero de 2017.</w:t>
      </w:r>
    </w:p>
    <w:p w:rsidR="008C76D8" w:rsidRDefault="008C76D8" w:rsidP="008C76D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caps/>
          <w:color w:val="009999"/>
          <w:sz w:val="28"/>
          <w:szCs w:val="24"/>
          <w:lang w:eastAsia="es-E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9999"/>
            </w14:solidFill>
            <w14:prstDash w14:val="solid"/>
            <w14:round/>
          </w14:textOutline>
        </w:rPr>
      </w:pPr>
    </w:p>
    <w:p w:rsidR="008C76D8" w:rsidRDefault="008C76D8" w:rsidP="008C76D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caps/>
          <w:color w:val="009999"/>
          <w:sz w:val="28"/>
          <w:szCs w:val="24"/>
          <w:lang w:eastAsia="es-E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9999"/>
            </w14:solidFill>
            <w14:prstDash w14:val="solid"/>
            <w14:round/>
          </w14:textOutline>
        </w:rPr>
      </w:pPr>
    </w:p>
    <w:p w:rsidR="008E49C1" w:rsidRDefault="008C76D8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249"/>
    <w:multiLevelType w:val="hybridMultilevel"/>
    <w:tmpl w:val="005E67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6D8"/>
    <w:rsid w:val="00323ADC"/>
    <w:rsid w:val="0064604D"/>
    <w:rsid w:val="008C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6D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C76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6D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C7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1264749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2017-03-24T16:37:00Z</dcterms:created>
  <dcterms:modified xsi:type="dcterms:W3CDTF">2017-03-24T16:38:00Z</dcterms:modified>
</cp:coreProperties>
</file>